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9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TSG-RAN5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sz w:val="24"/>
          <w:highlight w:val="none"/>
          <w:lang w:val="en-US" w:eastAsia="zh-CN"/>
        </w:rPr>
        <w:t>R5-241459</w:t>
      </w:r>
    </w:p>
    <w:p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  <w:lang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Athens</w:t>
      </w:r>
      <w:r>
        <w:rPr>
          <w:b/>
          <w:sz w:val="24"/>
          <w:highlight w:val="none"/>
          <w:lang w:val="it-IT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Greece</w:t>
      </w:r>
      <w:r>
        <w:rPr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February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26</w:t>
      </w:r>
      <w:r>
        <w:rPr>
          <w:b/>
          <w:sz w:val="24"/>
          <w:highlight w:val="none"/>
        </w:rPr>
        <w:t xml:space="preserve"> – </w:t>
      </w:r>
      <w:r>
        <w:rPr>
          <w:rFonts w:hint="eastAsia"/>
          <w:b/>
          <w:sz w:val="24"/>
          <w:highlight w:val="none"/>
          <w:lang w:val="en-US" w:eastAsia="zh-CN"/>
        </w:rPr>
        <w:t>March 1</w:t>
      </w:r>
      <w:r>
        <w:rPr>
          <w:b/>
          <w:sz w:val="24"/>
          <w:highlight w:val="none"/>
        </w:rPr>
        <w:t xml:space="preserve">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</w:p>
    <w:p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3GPP TSG RAN Meeting #10</w:t>
      </w:r>
      <w:r>
        <w:rPr>
          <w:rFonts w:hint="eastAsia"/>
          <w:b/>
          <w:sz w:val="24"/>
          <w:highlight w:val="none"/>
          <w:lang w:val="en-US" w:eastAsia="zh-CN"/>
        </w:rPr>
        <w:t>3</w:t>
      </w:r>
      <w:r>
        <w:rPr>
          <w:b/>
          <w:sz w:val="24"/>
          <w:highlight w:val="none"/>
        </w:rPr>
        <w:tab/>
      </w:r>
      <w:r>
        <w:rPr>
          <w:b/>
          <w:sz w:val="24"/>
          <w:highlight w:val="none"/>
        </w:rPr>
        <w:t>RP-2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</w:rPr>
        <w:t>xxxx</w:t>
      </w:r>
    </w:p>
    <w:p>
      <w:pPr>
        <w:pStyle w:val="59"/>
        <w:tabs>
          <w:tab w:val="right" w:pos="9639"/>
        </w:tabs>
        <w:spacing w:after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  <w:lang w:val="en-US" w:eastAsia="zh-CN"/>
        </w:rPr>
        <w:t>Maastricht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Netherlands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March</w:t>
      </w:r>
      <w:r>
        <w:rPr>
          <w:rFonts w:hint="eastAsia"/>
          <w:b/>
          <w:sz w:val="24"/>
          <w:highlight w:val="none"/>
        </w:rPr>
        <w:t xml:space="preserve"> 1</w:t>
      </w:r>
      <w:r>
        <w:rPr>
          <w:rFonts w:hint="eastAsia"/>
          <w:b/>
          <w:sz w:val="24"/>
          <w:highlight w:val="none"/>
          <w:lang w:val="en-US" w:eastAsia="zh-CN"/>
        </w:rPr>
        <w:t>8</w:t>
      </w:r>
      <w:r>
        <w:rPr>
          <w:rFonts w:hint="eastAsia"/>
          <w:b/>
          <w:sz w:val="24"/>
          <w:highlight w:val="none"/>
        </w:rPr>
        <w:t>-</w:t>
      </w:r>
      <w:r>
        <w:rPr>
          <w:rFonts w:hint="eastAsia"/>
          <w:b/>
          <w:sz w:val="24"/>
          <w:highlight w:val="none"/>
          <w:lang w:val="en-US" w:eastAsia="zh-CN"/>
        </w:rPr>
        <w:t>21</w:t>
      </w:r>
      <w:r>
        <w:rPr>
          <w:rFonts w:hint="eastAsia"/>
          <w:b/>
          <w:sz w:val="24"/>
          <w:highlight w:val="none"/>
        </w:rPr>
        <w:t>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</w:rPr>
        <w:tab/>
      </w:r>
    </w:p>
    <w:p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highlight w:val="none"/>
          <w:lang w:eastAsia="zh-CN"/>
        </w:rPr>
      </w:pP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, MediaTek, CAICT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ascii="Arial" w:hAnsi="Arial" w:eastAsia="Batang" w:cs="Arial"/>
          <w:b/>
          <w:sz w:val="24"/>
          <w:szCs w:val="24"/>
          <w:highlight w:val="none"/>
        </w:rPr>
        <w:t>New WID on UE Conformance - IoT NTN enhancements</w:t>
      </w:r>
      <w:r>
        <w:rPr>
          <w:rFonts w:hint="eastAsia" w:ascii="Arial" w:hAnsi="Arial" w:eastAsia="Batang" w:cs="Arial"/>
          <w:b/>
          <w:highlight w:val="none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highlight w:val="none"/>
        </w:rPr>
        <w:t>plus CT1 aspects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7.5</w:t>
      </w:r>
      <w:r>
        <w:rPr>
          <w:rFonts w:ascii="Arial" w:hAnsi="Arial" w:eastAsia="Batang"/>
          <w:b/>
          <w:sz w:val="24"/>
          <w:szCs w:val="24"/>
          <w:highlight w:val="none"/>
        </w:rPr>
        <w:t>.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2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0" w:name="_Hlt515348423"/>
      <w:bookmarkStart w:id="1" w:name="_Hlt515348424"/>
      <w:r>
        <w:rPr>
          <w:rStyle w:val="49"/>
          <w:highlight w:val="none"/>
        </w:rPr>
        <w:t>T</w:t>
      </w:r>
      <w:bookmarkEnd w:id="0"/>
      <w:bookmarkEnd w:id="1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Title:  UE Conformance - IoT NTN enhancements</w:t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Acronym: IoT_NTN_enh_plus_CT1-UEConTest</w:t>
      </w:r>
    </w:p>
    <w:p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pStyle w:val="10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Rel-18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>
      <w:pPr>
        <w:rPr>
          <w:highlight w:val="none"/>
        </w:rPr>
      </w:pPr>
      <w:r>
        <w:rPr>
          <w:highlight w:val="none"/>
        </w:rPr>
        <w:t xml:space="preserve">The following lists of </w:t>
      </w:r>
      <w:r>
        <w:rPr>
          <w:rFonts w:hint="eastAsia"/>
          <w:highlight w:val="none"/>
          <w:lang w:val="en-US"/>
        </w:rPr>
        <w:t xml:space="preserve">RAN2, </w:t>
      </w:r>
      <w:r>
        <w:rPr>
          <w:highlight w:val="none"/>
        </w:rPr>
        <w:t>RAN4</w:t>
      </w:r>
      <w:r>
        <w:rPr>
          <w:rFonts w:hint="eastAsia"/>
          <w:highlight w:val="none"/>
          <w:lang w:val="en-US"/>
        </w:rPr>
        <w:t>, CT1</w:t>
      </w:r>
      <w:r>
        <w:rPr>
          <w:highlight w:val="none"/>
        </w:rP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66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9</w:t>
            </w:r>
            <w:r>
              <w:rPr>
                <w:rFonts w:hint="eastAsia"/>
                <w:highlight w:val="none"/>
                <w:lang w:val="en-US"/>
              </w:rPr>
              <w:t>41004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"https://www.3gpp.org/DynaReport/WiCr--941004.htm"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"https://www.3gpp.org/DynaReport/WiSpec--950175.htm"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t>-Core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bookmarkStart w:id="2" w:name="bm950175"/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"https://www.3gpp.org/DynaReport/GanttChart-Level-2.htm" \l "bm950175"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9</w:t>
            </w:r>
            <w:bookmarkEnd w:id="2"/>
            <w:r>
              <w:rPr>
                <w:rFonts w:hint="eastAsia"/>
                <w:highlight w:val="none"/>
                <w:lang w:val="en-US"/>
              </w:rPr>
              <w:t>4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/>
              </w:rPr>
              <w:t>0104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"https://www.3gpp.org/DynaReport/WiCr--950175.htm"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Core part: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"https://www.3gpp.org/DynaReport/WiCr--940104.htm"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"https://www.3gpp.org/DynaReport/WiSpec--950275.htm"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IoT_NTN_enh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t>-Perf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bookmarkStart w:id="3" w:name="bm950275"/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"https://www.3gpp.org/DynaReport/GanttChart-Level-2.htm" \l "bm950275"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9502</w:t>
            </w:r>
            <w:bookmarkEnd w:id="3"/>
            <w:r>
              <w:rPr>
                <w:rFonts w:hint="eastAsia"/>
                <w:highlight w:val="none"/>
                <w:lang w:val="en-US"/>
              </w:rPr>
              <w:t>8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/>
                <w:highlight w:val="none"/>
                <w:lang w:val="en-US"/>
              </w:rPr>
              <w:t>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"https://www.3gpp.org/DynaReport/WiCr--950275.htm"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 xml:space="preserve">Perf. part: </w:t>
            </w:r>
            <w:r>
              <w:rPr>
                <w:rFonts w:hint="eastAsia"/>
                <w:highlight w:val="none"/>
              </w:rPr>
              <w:fldChar w:fldCharType="begin"/>
            </w:r>
            <w:r>
              <w:rPr>
                <w:rFonts w:hint="eastAsia"/>
                <w:highlight w:val="none"/>
              </w:rPr>
              <w:instrText xml:space="preserve"> HYPERLINK "https://www.3gpp.org/DynaReport/WiCr--950284.htm" \t "https://www.3gpp.org/_blank" </w:instrText>
            </w:r>
            <w:r>
              <w:rPr>
                <w:rFonts w:hint="eastAsia"/>
                <w:highlight w:val="none"/>
              </w:rPr>
              <w:fldChar w:fldCharType="separate"/>
            </w:r>
            <w:r>
              <w:rPr>
                <w:highlight w:val="none"/>
              </w:rPr>
              <w:t>IoT (Internet of Things) NTN (non-terrestrial network) enhancements</w:t>
            </w:r>
            <w:r>
              <w:rPr>
                <w:highlight w:val="none"/>
              </w:rPr>
              <w:fldChar w:fldCharType="end"/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  <w:lang w:eastAsia="ja-JP"/>
              </w:rPr>
              <w:t>5GSAT_Ph2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CT1</w:t>
            </w:r>
          </w:p>
        </w:tc>
        <w:tc>
          <w:tcPr>
            <w:tcW w:w="1276" w:type="dxa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990024</w:t>
            </w:r>
          </w:p>
        </w:tc>
        <w:tc>
          <w:tcPr>
            <w:tcW w:w="6378" w:type="dxa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  <w:lang w:eastAsia="ja-JP"/>
              </w:rPr>
              <w:t>5GC/EPC enhancement for satellite access Phase 2</w:t>
            </w:r>
          </w:p>
        </w:tc>
      </w:tr>
    </w:tbl>
    <w:p>
      <w:pPr>
        <w:ind w:right="-99"/>
        <w:rPr>
          <w:b/>
          <w:highlight w:val="none"/>
        </w:rPr>
      </w:pPr>
    </w:p>
    <w:p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>
      <w:pPr>
        <w:rPr>
          <w:i/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>
      <w:pPr>
        <w:spacing w:after="0"/>
        <w:rPr>
          <w:bCs/>
          <w:highlight w:val="none"/>
        </w:rPr>
      </w:pPr>
      <w:r>
        <w:rPr>
          <w:bCs/>
          <w:highlight w:val="none"/>
        </w:rPr>
        <w:t>Release 17</w:t>
      </w:r>
      <w:r>
        <w:rPr>
          <w:rFonts w:hint="eastAsia"/>
          <w:bCs/>
          <w:highlight w:val="none"/>
          <w:lang w:val="en-US"/>
        </w:rPr>
        <w:t xml:space="preserve"> RAN1/2/3/4</w:t>
      </w:r>
      <w:r>
        <w:rPr>
          <w:bCs/>
          <w:highlight w:val="none"/>
        </w:rPr>
        <w:t xml:space="preserve"> work item LTE_NBIOT_eMTC_NTN</w:t>
      </w:r>
      <w:r>
        <w:rPr>
          <w:bCs/>
          <w:highlight w:val="none"/>
          <w:lang w:val="en-US"/>
        </w:rPr>
        <w:t xml:space="preserve"> </w:t>
      </w:r>
      <w:r>
        <w:rPr>
          <w:rFonts w:hint="eastAsia"/>
          <w:bCs/>
          <w:highlight w:val="none"/>
          <w:lang w:val="en-US"/>
        </w:rPr>
        <w:t>wa</w:t>
      </w:r>
      <w:r>
        <w:rPr>
          <w:bCs/>
          <w:highlight w:val="none"/>
        </w:rPr>
        <w:t>s carried out to enable NB-IoT and eMTC to support Non-Terrestrial Networks (NTN) under the following assumptions:</w:t>
      </w:r>
    </w:p>
    <w:p>
      <w:pPr>
        <w:numPr>
          <w:ilvl w:val="0"/>
          <w:numId w:val="1"/>
        </w:numPr>
        <w:spacing w:after="0"/>
        <w:rPr>
          <w:bCs/>
          <w:highlight w:val="none"/>
        </w:rPr>
      </w:pPr>
      <w:r>
        <w:rPr>
          <w:bCs/>
          <w:highlight w:val="none"/>
        </w:rPr>
        <w:t>Transparent payload based GEO and NGSO network scenarios addressing at least 3GPP power class 3 UE with GNSS capability in both Earth fixed &amp;/or moving cell configurations.</w:t>
      </w:r>
    </w:p>
    <w:p>
      <w:pPr>
        <w:spacing w:after="0"/>
        <w:rPr>
          <w:bCs/>
          <w:highlight w:val="none"/>
        </w:rPr>
      </w:pPr>
    </w:p>
    <w:p>
      <w:pPr>
        <w:spacing w:after="0"/>
        <w:rPr>
          <w:bCs/>
          <w:highlight w:val="none"/>
        </w:rPr>
      </w:pPr>
      <w:r>
        <w:rPr>
          <w:rFonts w:hint="eastAsia"/>
          <w:bCs/>
          <w:highlight w:val="none"/>
          <w:lang w:val="en-US"/>
        </w:rPr>
        <w:t>R</w:t>
      </w:r>
      <w:r>
        <w:rPr>
          <w:bCs/>
          <w:highlight w:val="none"/>
        </w:rPr>
        <w:t>elease 18</w:t>
      </w:r>
      <w:r>
        <w:rPr>
          <w:rFonts w:hint="eastAsia"/>
          <w:bCs/>
          <w:highlight w:val="none"/>
          <w:lang w:val="en-US"/>
        </w:rPr>
        <w:t xml:space="preserve"> RAN1/2/3/4</w:t>
      </w:r>
      <w:r>
        <w:rPr>
          <w:bCs/>
          <w:highlight w:val="none"/>
        </w:rPr>
        <w:t xml:space="preserve"> work item IoT_NTN_enh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bCs/>
          <w:highlight w:val="none"/>
        </w:rPr>
        <w:t>define</w:t>
      </w:r>
      <w:r>
        <w:rPr>
          <w:rFonts w:hint="eastAsia"/>
          <w:bCs/>
          <w:highlight w:val="none"/>
          <w:lang w:val="en-US"/>
        </w:rPr>
        <w:t>s</w:t>
      </w:r>
      <w:r>
        <w:rPr>
          <w:bCs/>
          <w:highlight w:val="none"/>
        </w:rPr>
        <w:t xml:space="preserve"> further enhancements for NB-IoT NTN and eMTC NTN in order to: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Improve mobility aspects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Support of neighbour cell measurements and corresponding measurement triggering before RLF, using Rel</w:t>
      </w:r>
      <w:r>
        <w:rPr>
          <w:highlight w:val="none"/>
        </w:rPr>
        <w:noBreakHyphen/>
      </w:r>
      <w:r>
        <w:rPr>
          <w:highlight w:val="none"/>
        </w:rPr>
        <w:t>17 (TN) NB-IoT, eMTC as a baseline.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Support signalling in system information of neighbour cell ephemeris, for eMTC and NB-IoT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Re-use the solutions introduced in Rel-17 NR NTN for mobility enhancements for eMTC, with minimum necessary changes to adapt them to eMTC [RAN2]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Define UE RRM core requirements for the above mobility enhancement features [RAN4].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Improve performance in terms of throughput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Disabling of HARQ feedback to mitigate impact of HARQ stalling on UE data rates [RAN1,RAN2]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  <w:lang w:val="en-US" w:eastAsia="en-US"/>
        </w:rPr>
        <w:t>Specify UE RRM performance requirements to support the agreed mobility enhancements for NB-IoT/eMTC [RAN4]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  <w:lang w:val="en-US" w:eastAsia="en-US"/>
        </w:rPr>
        <w:t>Specify UE and Base Station demodulation requirements for operation with disabled HARQ feedback for NB-IoT/eMTC [RAN4]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Optimize the GNSS operation with sparse use of GNSS and power efficiency for long-term connection (compared to Rel-17)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Specify needed improved GNSS operations for a new position fix for UE pre-compensation during long connection times and for reduced power consumption. Simultaneous GNSS and NTN NB-IoT/eMTC operation is not assumed</w:t>
      </w:r>
      <w:r>
        <w:rPr>
          <w:sz w:val="22"/>
          <w:szCs w:val="22"/>
          <w:highlight w:val="none"/>
        </w:rPr>
        <w:t>.</w:t>
      </w:r>
      <w:r>
        <w:rPr>
          <w:highlight w:val="none"/>
        </w:rPr>
        <w:t xml:space="preserve"> [RAN1, RAN2]</w:t>
      </w:r>
    </w:p>
    <w:p>
      <w:pPr>
        <w:numPr>
          <w:ilvl w:val="0"/>
          <w:numId w:val="2"/>
        </w:numPr>
        <w:spacing w:after="0"/>
        <w:rPr>
          <w:bCs/>
          <w:highlight w:val="none"/>
        </w:rPr>
      </w:pPr>
      <w:r>
        <w:rPr>
          <w:bCs/>
          <w:highlight w:val="none"/>
        </w:rPr>
        <w:t>Further enhance support for discontinuous coverage</w:t>
      </w:r>
      <w:r>
        <w:rPr>
          <w:rFonts w:hint="eastAsia"/>
          <w:bCs/>
          <w:highlight w:val="none"/>
          <w:lang w:val="en-US"/>
        </w:rPr>
        <w:t>:</w:t>
      </w:r>
    </w:p>
    <w:p>
      <w:pPr>
        <w:numPr>
          <w:ilvl w:val="1"/>
          <w:numId w:val="2"/>
        </w:numPr>
        <w:spacing w:after="0"/>
        <w:rPr>
          <w:bCs/>
          <w:highlight w:val="none"/>
        </w:rPr>
      </w:pPr>
      <w:r>
        <w:rPr>
          <w:highlight w:val="none"/>
        </w:rPr>
        <w:t>Specify mobility management enhancements and power saving enhancements for discontinuous coverage, taking into account the conclusions from the SA2 study FS_5GSAT_Ph2. [RAN2, RAN3].</w:t>
      </w:r>
    </w:p>
    <w:p>
      <w:pPr>
        <w:spacing w:after="0"/>
        <w:rPr>
          <w:kern w:val="2"/>
          <w:highlight w:val="none"/>
          <w:lang w:val="en-US"/>
        </w:rPr>
      </w:pPr>
      <w:r>
        <w:rPr>
          <w:highlight w:val="none"/>
        </w:rPr>
        <w:t>NOTE:</w:t>
      </w:r>
      <w:r>
        <w:rPr>
          <w:highlight w:val="none"/>
        </w:rPr>
        <w:tab/>
      </w:r>
      <w:r>
        <w:rPr>
          <w:highlight w:val="none"/>
        </w:rPr>
        <w:t>It is expected a UE can move while under discontinuous coverage.</w:t>
      </w:r>
    </w:p>
    <w:p>
      <w:pPr>
        <w:spacing w:after="0"/>
        <w:rPr>
          <w:kern w:val="2"/>
          <w:highlight w:val="none"/>
          <w:lang w:val="en-US"/>
        </w:rPr>
      </w:pPr>
    </w:p>
    <w:p>
      <w:pPr>
        <w:rPr>
          <w:highlight w:val="none"/>
        </w:rPr>
      </w:pPr>
      <w:r>
        <w:rPr>
          <w:highlight w:val="none"/>
        </w:rPr>
        <w:t xml:space="preserve">The </w:t>
      </w:r>
      <w:r>
        <w:rPr>
          <w:rFonts w:hint="eastAsia"/>
          <w:highlight w:val="none"/>
          <w:lang w:val="en-US"/>
        </w:rPr>
        <w:t xml:space="preserve">Release18 </w:t>
      </w:r>
      <w:r>
        <w:rPr>
          <w:highlight w:val="none"/>
        </w:rPr>
        <w:t xml:space="preserve">work item </w:t>
      </w:r>
      <w:r>
        <w:rPr>
          <w:rFonts w:hint="eastAsia"/>
          <w:bCs/>
          <w:highlight w:val="none"/>
          <w:lang w:val="en-US"/>
        </w:rPr>
        <w:t>carrie</w:t>
      </w:r>
      <w:r>
        <w:rPr>
          <w:bCs/>
          <w:highlight w:val="none"/>
        </w:rPr>
        <w:t>d</w:t>
      </w:r>
      <w:r>
        <w:rPr>
          <w:rFonts w:hint="eastAsia"/>
          <w:bCs/>
          <w:highlight w:val="none"/>
          <w:lang w:val="en-US"/>
        </w:rPr>
        <w:t xml:space="preserve"> out</w:t>
      </w:r>
      <w:r>
        <w:rPr>
          <w:bCs/>
          <w:highlight w:val="none"/>
        </w:rPr>
        <w:t xml:space="preserve"> </w:t>
      </w:r>
      <w:r>
        <w:rPr>
          <w:rFonts w:hint="eastAsia"/>
          <w:bCs/>
          <w:highlight w:val="none"/>
          <w:lang w:val="en-US"/>
        </w:rPr>
        <w:t xml:space="preserve">by RAN1/2/3/4 </w:t>
      </w:r>
      <w:r>
        <w:rPr>
          <w:highlight w:val="none"/>
        </w:rPr>
        <w:t>aims to specify further enhancements for E-UTRA (LTE-RAN) based NTN (non-terrestrial networks) according to the following assumptions:</w:t>
      </w:r>
    </w:p>
    <w:p>
      <w:pPr>
        <w:pStyle w:val="84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GEO and NGSO (LEO and MEO).</w:t>
      </w:r>
    </w:p>
    <w:p>
      <w:pPr>
        <w:pStyle w:val="84"/>
        <w:rPr>
          <w:bCs/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bCs/>
          <w:highlight w:val="none"/>
        </w:rPr>
        <w:t>Earth fixed Tracking area. Earth fixed &amp; Earth moving cells for NGSO</w:t>
      </w:r>
    </w:p>
    <w:p>
      <w:pPr>
        <w:pStyle w:val="84"/>
        <w:rPr>
          <w:bCs/>
          <w:highlight w:val="none"/>
        </w:rPr>
      </w:pPr>
      <w:r>
        <w:rPr>
          <w:bCs/>
          <w:highlight w:val="none"/>
        </w:rPr>
        <w:t>-</w:t>
      </w:r>
      <w:r>
        <w:rPr>
          <w:bCs/>
          <w:highlight w:val="none"/>
        </w:rPr>
        <w:tab/>
      </w:r>
      <w:r>
        <w:rPr>
          <w:bCs/>
          <w:highlight w:val="none"/>
        </w:rPr>
        <w:t>FDD mode</w:t>
      </w:r>
    </w:p>
    <w:p>
      <w:pPr>
        <w:pStyle w:val="84"/>
        <w:rPr>
          <w:kern w:val="2"/>
          <w:highlight w:val="none"/>
          <w:lang w:val="en-US"/>
        </w:rPr>
      </w:pPr>
      <w:r>
        <w:rPr>
          <w:bCs/>
          <w:highlight w:val="none"/>
        </w:rPr>
        <w:t>-</w:t>
      </w:r>
      <w:r>
        <w:rPr>
          <w:bCs/>
          <w:highlight w:val="none"/>
        </w:rPr>
        <w:tab/>
      </w:r>
      <w:r>
        <w:rPr>
          <w:bCs/>
          <w:highlight w:val="none"/>
        </w:rPr>
        <w:t>UEs with GNSS capabilities</w:t>
      </w:r>
    </w:p>
    <w:p>
      <w:pPr>
        <w:pStyle w:val="92"/>
        <w:rPr>
          <w:rFonts w:hint="eastAsia"/>
          <w:i w:val="0"/>
          <w:iCs/>
          <w:highlight w:val="none"/>
          <w:lang w:val="en-US" w:eastAsia="zh-CN"/>
        </w:rPr>
      </w:pPr>
      <w:r>
        <w:rPr>
          <w:rFonts w:hint="eastAsia"/>
          <w:i w:val="0"/>
          <w:iCs/>
          <w:highlight w:val="none"/>
          <w:lang w:val="en-US" w:eastAsia="zh-CN"/>
        </w:rPr>
        <w:t>Release 18 CT1 work item 5GSAT_Ph2 defines the following contents:</w:t>
      </w:r>
    </w:p>
    <w:p>
      <w:pPr>
        <w:pStyle w:val="92"/>
        <w:numPr>
          <w:ilvl w:val="0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Procedures for determining and negotiating out-of-coverage period due to discontinuous coverage and for power saving during coverage gaps: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Negotiation of “discontinuous coverage support” capability between the UE and the AMF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Negotiation of “out-of-coverage period” between the UE and the AMF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Indication of losing coverage by the UE</w:t>
      </w:r>
    </w:p>
    <w:p>
      <w:pPr>
        <w:pStyle w:val="92"/>
        <w:numPr>
          <w:ilvl w:val="1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AMF requesting the UE to perform Registration update upon return to coverage</w:t>
      </w:r>
    </w:p>
    <w:p>
      <w:pPr>
        <w:pStyle w:val="92"/>
        <w:numPr>
          <w:ilvl w:val="0"/>
          <w:numId w:val="3"/>
        </w:numPr>
        <w:rPr>
          <w:i w:val="0"/>
          <w:iCs/>
          <w:highlight w:val="none"/>
        </w:rPr>
      </w:pPr>
      <w:r>
        <w:rPr>
          <w:i w:val="0"/>
          <w:iCs/>
          <w:highlight w:val="none"/>
        </w:rPr>
        <w:t>Handling signalling overload due to loss of coverage and return to coverage of many UEs at the same time.</w:t>
      </w:r>
    </w:p>
    <w:p>
      <w:pPr>
        <w:rPr>
          <w:rFonts w:hint="eastAsia"/>
          <w:kern w:val="2"/>
          <w:highlight w:val="none"/>
          <w:lang w:val="en-US"/>
        </w:rPr>
      </w:pPr>
    </w:p>
    <w:p>
      <w:pPr>
        <w:rPr>
          <w:rFonts w:hint="eastAsia"/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>For Rel-18 RAN1/2/3/4 work item IoT_NTN_enh, the overall completion level for core part has reached 100% after RP#102 (RAN1: 100%, RAN2: 100%, RAN3: 100%, RAN4: 100%). The overall completion level for performance part has reached 10% after RP#102, and the target completion date for performance part is RP#104 (2024-06).</w:t>
      </w:r>
    </w:p>
    <w:p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Rel-18 CT1 work item </w:t>
      </w:r>
      <w:r>
        <w:rPr>
          <w:rFonts w:hint="eastAsia"/>
          <w:iCs/>
          <w:highlight w:val="none"/>
          <w:lang w:val="en-US"/>
        </w:rPr>
        <w:t>5GSAT_Ph2</w:t>
      </w:r>
      <w:r>
        <w:rPr>
          <w:rFonts w:hint="eastAsia"/>
          <w:kern w:val="2"/>
          <w:highlight w:val="none"/>
          <w:lang w:val="en-US"/>
        </w:rPr>
        <w:t>, the overall completion level has reached 90% after CT#102, and is expected to be completed by CT#103 (2024-03).</w:t>
      </w:r>
    </w:p>
    <w:p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r>
        <w:rPr>
          <w:rFonts w:hint="eastAsia"/>
          <w:kern w:val="2"/>
          <w:highlight w:val="none"/>
          <w:lang w:val="en-US"/>
        </w:rPr>
        <w:t xml:space="preserve">IoT NTN enhancement </w:t>
      </w:r>
      <w:r>
        <w:rPr>
          <w:kern w:val="2"/>
          <w:highlight w:val="none"/>
          <w:lang w:val="en-US"/>
        </w:rPr>
        <w:t>UE requirements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>
      <w:pPr>
        <w:spacing w:after="0"/>
        <w:rPr>
          <w:bCs/>
          <w:highlight w:val="none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IoT NTN enhancement 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/>
        </w:rPr>
        <w:t>for IoT NTN enhancement UE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>R18 IoT NTN enhancement UE</w:t>
      </w:r>
      <w:r>
        <w:rPr>
          <w:kern w:val="2"/>
          <w:highlight w:val="none"/>
          <w:lang w:val="en-US"/>
        </w:rPr>
        <w:t xml:space="preserve"> requirements introduced by </w:t>
      </w:r>
      <w:r>
        <w:rPr>
          <w:rFonts w:hint="eastAsia"/>
          <w:kern w:val="2"/>
          <w:highlight w:val="none"/>
          <w:lang w:val="en-US"/>
        </w:rPr>
        <w:t>RAN1, RAN2</w:t>
      </w:r>
      <w:bookmarkStart w:id="4" w:name="_GoBack"/>
      <w:bookmarkEnd w:id="4"/>
      <w:r>
        <w:rPr>
          <w:rFonts w:hint="eastAsia"/>
          <w:kern w:val="2"/>
          <w:highlight w:val="none"/>
          <w:lang w:val="en-US" w:eastAsia="zh-CN"/>
        </w:rPr>
        <w:t>,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RAN4 </w:t>
      </w:r>
      <w:r>
        <w:rPr>
          <w:rFonts w:hint="eastAsia"/>
          <w:kern w:val="2"/>
          <w:highlight w:val="none"/>
          <w:lang w:val="en-US"/>
        </w:rPr>
        <w:t xml:space="preserve">and </w:t>
      </w:r>
      <w:r>
        <w:rPr>
          <w:rFonts w:hint="eastAsia"/>
          <w:kern w:val="2"/>
          <w:highlight w:val="none"/>
          <w:lang w:val="en-US" w:eastAsia="zh-CN"/>
        </w:rPr>
        <w:t>CT1</w:t>
      </w:r>
      <w:r>
        <w:rPr>
          <w:kern w:val="2"/>
          <w:highlight w:val="none"/>
          <w:lang w:val="en-US"/>
        </w:rPr>
        <w:t>.</w:t>
      </w:r>
    </w:p>
    <w:p>
      <w:pPr>
        <w:spacing w:after="0"/>
        <w:rPr>
          <w:rFonts w:hint="eastAsia"/>
          <w:bCs/>
          <w:highlight w:val="none"/>
        </w:rPr>
      </w:pPr>
    </w:p>
    <w:p>
      <w:pPr>
        <w:spacing w:after="0"/>
        <w:rPr>
          <w:kern w:val="2"/>
          <w:highlight w:val="none"/>
          <w:lang w:val="en-US"/>
        </w:rPr>
      </w:pPr>
      <w:r>
        <w:rPr>
          <w:kern w:val="2"/>
          <w:highlight w:val="none"/>
          <w:lang w:val="en-US"/>
        </w:rPr>
        <w:t xml:space="preserve">Due to lack of </w:t>
      </w:r>
      <w:r>
        <w:rPr>
          <w:rFonts w:hint="eastAsia"/>
          <w:kern w:val="2"/>
          <w:highlight w:val="none"/>
          <w:lang w:val="en-US" w:eastAsia="zh-CN"/>
        </w:rPr>
        <w:t>clear</w:t>
      </w:r>
      <w:r>
        <w:rPr>
          <w:kern w:val="2"/>
          <w:highlight w:val="none"/>
          <w:lang w:val="en-US"/>
        </w:rPr>
        <w:t xml:space="preserve"> commercial deployment interest of eMTC NTN</w:t>
      </w:r>
      <w:r>
        <w:rPr>
          <w:rFonts w:hint="eastAsia"/>
          <w:kern w:val="2"/>
          <w:highlight w:val="none"/>
          <w:lang w:val="en-US" w:eastAsia="zh-CN"/>
        </w:rPr>
        <w:t xml:space="preserve"> so far</w:t>
      </w:r>
      <w:r>
        <w:rPr>
          <w:kern w:val="2"/>
          <w:highlight w:val="none"/>
          <w:lang w:val="en-US"/>
        </w:rPr>
        <w:t>, conformance test development of eMTC enhancement is considered to be outside of the scope of this WI</w:t>
      </w:r>
      <w:r>
        <w:rPr>
          <w:rFonts w:hint="eastAsia"/>
          <w:kern w:val="2"/>
          <w:highlight w:val="none"/>
          <w:lang w:val="en-US"/>
        </w:rPr>
        <w:t>.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TS 3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6</w:t>
            </w:r>
            <w:r>
              <w:rPr>
                <w:rFonts w:cs="Tahoma"/>
                <w:sz w:val="16"/>
                <w:szCs w:val="16"/>
                <w:highlight w:val="none"/>
              </w:rPr>
              <w:t>.508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common test environment for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RRM/SIG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TS 36.52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  <w:highlight w:val="none"/>
              </w:rPr>
              <w:t>-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Introduction of the 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TS 36.521-4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 xml:space="preserve">Introduction of the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Demod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TS 36.52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cs="Arial"/>
                <w:sz w:val="16"/>
                <w:szCs w:val="16"/>
                <w:highlight w:val="none"/>
              </w:rPr>
              <w:t>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applicability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and ICS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for 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Introduction of testing functions for RRM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test cases impacted 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TR 36.903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Introduction of TT&amp;MU for RRM test cases impacted </w:t>
            </w:r>
            <w:r>
              <w:rPr>
                <w:rFonts w:cs="Arial"/>
                <w:sz w:val="16"/>
                <w:szCs w:val="16"/>
                <w:highlight w:val="none"/>
              </w:rPr>
              <w:t>by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SIG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test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cases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for 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 xml:space="preserve"> 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applicability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for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TS 36.523-3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  <w:highlight w:val="none"/>
              </w:rPr>
              <w:t>Introduction of test model for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  <w:highlight w:val="none"/>
              </w:rPr>
              <w:t>Rel-1</w:t>
            </w:r>
            <w:r>
              <w:rPr>
                <w:rFonts w:cs="Arial"/>
                <w:sz w:val="16"/>
                <w:szCs w:val="16"/>
                <w:highlight w:val="none"/>
                <w:lang w:val="en-US"/>
              </w:rPr>
              <w:t>8</w:t>
            </w:r>
            <w:r>
              <w:rPr>
                <w:rFonts w:cs="Arial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IoT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hint="eastAsia" w:cs="Arial"/>
                <w:sz w:val="16"/>
                <w:szCs w:val="16"/>
                <w:highlight w:val="none"/>
              </w:rPr>
              <w:t>NTN</w:t>
            </w:r>
            <w:r>
              <w:rPr>
                <w:rFonts w:hint="eastAsia" w:cs="Arial"/>
                <w:sz w:val="16"/>
                <w:szCs w:val="16"/>
                <w:highlight w:val="none"/>
                <w:lang w:val="en-US"/>
              </w:rPr>
              <w:t xml:space="preserve"> enh.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10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Dec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-25)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</w:p>
        </w:tc>
      </w:tr>
    </w:tbl>
    <w:p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>
      <w:pPr>
        <w:rPr>
          <w:highlight w:val="none"/>
        </w:rPr>
      </w:pP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>
      <w:pPr>
        <w:rPr>
          <w:rStyle w:val="49"/>
          <w:rFonts w:hint="eastAsia" w:ascii="Arial" w:hAnsi="Arial" w:cs="Arial"/>
          <w:highlight w:val="none"/>
          <w:lang w:val="en-US"/>
        </w:rPr>
      </w:pPr>
      <w:r>
        <w:rPr>
          <w:rFonts w:ascii="Arial" w:hAnsi="Arial" w:cs="Arial"/>
          <w:highlight w:val="none"/>
          <w:lang w:val="en-US"/>
        </w:rPr>
        <w:t>Danbo Fu</w:t>
      </w:r>
      <w:r>
        <w:rPr>
          <w:rFonts w:ascii="Arial" w:hAnsi="Arial" w:cs="Arial"/>
          <w:highlight w:val="none"/>
        </w:rPr>
        <w:t xml:space="preserve"> </w:t>
      </w:r>
      <w:r>
        <w:rPr>
          <w:rFonts w:hint="eastAsia" w:ascii="Arial" w:hAnsi="Arial" w:cs="Arial"/>
          <w:highlight w:val="none"/>
        </w:rPr>
        <w:t>(</w:t>
      </w:r>
      <w:r>
        <w:rPr>
          <w:rFonts w:ascii="Arial" w:hAnsi="Arial" w:cs="Arial"/>
          <w:highlight w:val="none"/>
        </w:rPr>
        <w:t>MediaTek</w:t>
      </w:r>
      <w:r>
        <w:rPr>
          <w:rFonts w:hint="eastAsia" w:ascii="Arial" w:hAnsi="Arial" w:cs="Arial"/>
          <w:highlight w:val="none"/>
        </w:rPr>
        <w:t>)</w:t>
      </w:r>
      <w:r>
        <w:rPr>
          <w:rFonts w:hint="eastAsia" w:ascii="Arial" w:hAnsi="Arial" w:cs="Arial"/>
          <w:highlight w:val="none"/>
          <w:lang w:val="en-US"/>
        </w:rPr>
        <w:t>,</w:t>
      </w:r>
      <w:r>
        <w:rPr>
          <w:rFonts w:ascii="Arial" w:hAnsi="Arial" w:cs="Arial"/>
          <w:highlight w:val="none"/>
        </w:rPr>
        <w:t xml:space="preserve"> </w: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begin"/>
      </w:r>
      <w:r>
        <w:rPr>
          <w:rStyle w:val="49"/>
          <w:rFonts w:hint="eastAsia" w:ascii="Arial" w:hAnsi="Arial" w:cs="Arial"/>
          <w:highlight w:val="none"/>
          <w:lang w:val="en-US"/>
        </w:rPr>
        <w:instrText xml:space="preserve"> HYPERLINK "mailto:Danbo.Fu@mediatek.com" </w:instrTex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separate"/>
      </w:r>
      <w:r>
        <w:rPr>
          <w:rStyle w:val="49"/>
          <w:rFonts w:hint="eastAsia" w:ascii="Arial" w:hAnsi="Arial" w:cs="Arial"/>
          <w:highlight w:val="none"/>
          <w:lang w:val="en-US"/>
        </w:rPr>
        <w:t>Danbo.Fu@mediatek.com</w:t>
      </w:r>
      <w:r>
        <w:rPr>
          <w:rStyle w:val="49"/>
          <w:rFonts w:hint="eastAsia" w:ascii="Arial" w:hAnsi="Arial" w:cs="Arial"/>
          <w:highlight w:val="none"/>
          <w:lang w:val="en-US"/>
        </w:rPr>
        <w:fldChar w:fldCharType="end"/>
      </w:r>
    </w:p>
    <w:p>
      <w:pPr>
        <w:rPr>
          <w:rStyle w:val="49"/>
          <w:rFonts w:ascii="Arial" w:hAnsi="Arial" w:cs="Arial"/>
          <w:highlight w:val="none"/>
          <w:lang w:val="en-US"/>
        </w:rPr>
      </w:pPr>
      <w:r>
        <w:rPr>
          <w:rFonts w:hint="eastAsia" w:ascii="Arial" w:hAnsi="Arial" w:cs="Arial"/>
          <w:highlight w:val="none"/>
          <w:lang w:val="en-US"/>
        </w:rPr>
        <w:t xml:space="preserve">Yufeng Zhang (CAICT), </w:t>
      </w:r>
      <w:r>
        <w:rPr>
          <w:rStyle w:val="49"/>
          <w:rFonts w:hint="eastAsia" w:ascii="Arial" w:hAnsi="Arial" w:cs="Arial"/>
          <w:highlight w:val="none"/>
          <w:lang w:val="en-US"/>
        </w:rPr>
        <w:t>zhangyufeng@caict.ac.cn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Keysight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6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MediaTek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>
            <w:pPr>
              <w:pStyle w:val="53"/>
              <w:rPr>
                <w:rFonts w:hint="eastAsia"/>
                <w:highlight w:val="none"/>
                <w:lang w:val="en-US"/>
              </w:rPr>
            </w:pPr>
          </w:p>
        </w:tc>
      </w:tr>
    </w:tbl>
    <w:p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FF5258"/>
    <w:multiLevelType w:val="multilevel"/>
    <w:tmpl w:val="2DFF5258"/>
    <w:lvl w:ilvl="0" w:tentative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entative="0">
      <w:start w:val="4"/>
      <w:numFmt w:val="bullet"/>
      <w:lvlText w:val="-"/>
      <w:lvlJc w:val="left"/>
      <w:pPr>
        <w:ind w:left="1125" w:hanging="360"/>
      </w:pPr>
      <w:rPr>
        <w:rFonts w:hint="default" w:ascii="Times New Roman" w:hAnsi="Times New Roman" w:eastAsia="Malgun Gothic" w:cs="Times New Roman"/>
      </w:rPr>
    </w:lvl>
    <w:lvl w:ilvl="2" w:tentative="0">
      <w:start w:val="1"/>
      <w:numFmt w:val="lowerRoman"/>
      <w:lvlText w:val="%3."/>
      <w:lvlJc w:val="right"/>
      <w:pPr>
        <w:ind w:left="1845" w:hanging="180"/>
      </w:pPr>
    </w:lvl>
    <w:lvl w:ilvl="3" w:tentative="0">
      <w:start w:val="1"/>
      <w:numFmt w:val="decimal"/>
      <w:lvlText w:val="%4."/>
      <w:lvlJc w:val="left"/>
      <w:pPr>
        <w:ind w:left="2565" w:hanging="360"/>
      </w:pPr>
    </w:lvl>
    <w:lvl w:ilvl="4" w:tentative="0">
      <w:start w:val="1"/>
      <w:numFmt w:val="lowerLetter"/>
      <w:lvlText w:val="%5."/>
      <w:lvlJc w:val="left"/>
      <w:pPr>
        <w:ind w:left="3285" w:hanging="360"/>
      </w:pPr>
    </w:lvl>
    <w:lvl w:ilvl="5" w:tentative="0">
      <w:start w:val="1"/>
      <w:numFmt w:val="lowerRoman"/>
      <w:lvlText w:val="%6."/>
      <w:lvlJc w:val="right"/>
      <w:pPr>
        <w:ind w:left="4005" w:hanging="180"/>
      </w:pPr>
    </w:lvl>
    <w:lvl w:ilvl="6" w:tentative="0">
      <w:start w:val="1"/>
      <w:numFmt w:val="decimal"/>
      <w:lvlText w:val="%7."/>
      <w:lvlJc w:val="left"/>
      <w:pPr>
        <w:ind w:left="4725" w:hanging="360"/>
      </w:pPr>
    </w:lvl>
    <w:lvl w:ilvl="7" w:tentative="0">
      <w:start w:val="1"/>
      <w:numFmt w:val="lowerLetter"/>
      <w:lvlText w:val="%8."/>
      <w:lvlJc w:val="left"/>
      <w:pPr>
        <w:ind w:left="5445" w:hanging="360"/>
      </w:pPr>
    </w:lvl>
    <w:lvl w:ilvl="8" w:tentative="0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49504703"/>
    <w:multiLevelType w:val="multilevel"/>
    <w:tmpl w:val="4950470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FDC7543"/>
    <w:multiLevelType w:val="multilevel"/>
    <w:tmpl w:val="7FDC754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3F04E05"/>
    <w:rsid w:val="047B6F67"/>
    <w:rsid w:val="04CE70E5"/>
    <w:rsid w:val="05134D42"/>
    <w:rsid w:val="058C4826"/>
    <w:rsid w:val="065467ED"/>
    <w:rsid w:val="085417B6"/>
    <w:rsid w:val="0865038C"/>
    <w:rsid w:val="09AB55EB"/>
    <w:rsid w:val="0B112752"/>
    <w:rsid w:val="0BE71621"/>
    <w:rsid w:val="0C605AD8"/>
    <w:rsid w:val="0CCC4298"/>
    <w:rsid w:val="10C25842"/>
    <w:rsid w:val="11FF5A95"/>
    <w:rsid w:val="130242C5"/>
    <w:rsid w:val="14DC7147"/>
    <w:rsid w:val="157432E4"/>
    <w:rsid w:val="16EA4CA9"/>
    <w:rsid w:val="172E14D7"/>
    <w:rsid w:val="17AC14CE"/>
    <w:rsid w:val="1862578F"/>
    <w:rsid w:val="18A37BB8"/>
    <w:rsid w:val="19AC65C5"/>
    <w:rsid w:val="1A2453EF"/>
    <w:rsid w:val="1ADD256D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38B1EDE"/>
    <w:rsid w:val="251A6CB5"/>
    <w:rsid w:val="25B81E8A"/>
    <w:rsid w:val="25ED24B7"/>
    <w:rsid w:val="25F330CF"/>
    <w:rsid w:val="2728771E"/>
    <w:rsid w:val="280C5191"/>
    <w:rsid w:val="28271E6C"/>
    <w:rsid w:val="289F0C32"/>
    <w:rsid w:val="28F039B6"/>
    <w:rsid w:val="29426A36"/>
    <w:rsid w:val="297A3E18"/>
    <w:rsid w:val="2A3263AB"/>
    <w:rsid w:val="2B20324F"/>
    <w:rsid w:val="2C43682A"/>
    <w:rsid w:val="2CA3594A"/>
    <w:rsid w:val="2D29396D"/>
    <w:rsid w:val="2D444746"/>
    <w:rsid w:val="2D530865"/>
    <w:rsid w:val="2DBF2D37"/>
    <w:rsid w:val="2DE5166B"/>
    <w:rsid w:val="2EA4080B"/>
    <w:rsid w:val="2F1F5CDD"/>
    <w:rsid w:val="2F880A79"/>
    <w:rsid w:val="30697FFE"/>
    <w:rsid w:val="317D512B"/>
    <w:rsid w:val="31C97E3A"/>
    <w:rsid w:val="33E90EA0"/>
    <w:rsid w:val="360E6B9F"/>
    <w:rsid w:val="36941198"/>
    <w:rsid w:val="37092303"/>
    <w:rsid w:val="375A77DC"/>
    <w:rsid w:val="384F5634"/>
    <w:rsid w:val="39E76D44"/>
    <w:rsid w:val="3AEC1C91"/>
    <w:rsid w:val="3BA91503"/>
    <w:rsid w:val="3C6F5636"/>
    <w:rsid w:val="3CF06E89"/>
    <w:rsid w:val="3D6E1416"/>
    <w:rsid w:val="3EF63D5B"/>
    <w:rsid w:val="3F566DFD"/>
    <w:rsid w:val="3F756BE7"/>
    <w:rsid w:val="40962182"/>
    <w:rsid w:val="40BB01C3"/>
    <w:rsid w:val="41615903"/>
    <w:rsid w:val="42E313B2"/>
    <w:rsid w:val="431A4C54"/>
    <w:rsid w:val="43985FF2"/>
    <w:rsid w:val="44380DDF"/>
    <w:rsid w:val="44D45521"/>
    <w:rsid w:val="44F23779"/>
    <w:rsid w:val="454C0948"/>
    <w:rsid w:val="4586324F"/>
    <w:rsid w:val="465C267B"/>
    <w:rsid w:val="466B35E0"/>
    <w:rsid w:val="467D1D87"/>
    <w:rsid w:val="46F9283F"/>
    <w:rsid w:val="47C77051"/>
    <w:rsid w:val="49892535"/>
    <w:rsid w:val="4C7F348C"/>
    <w:rsid w:val="4CFF2AE1"/>
    <w:rsid w:val="4D2D2130"/>
    <w:rsid w:val="4E1F670D"/>
    <w:rsid w:val="4E4E76D0"/>
    <w:rsid w:val="4F342A81"/>
    <w:rsid w:val="4FAC61E2"/>
    <w:rsid w:val="4FC214CB"/>
    <w:rsid w:val="503735A8"/>
    <w:rsid w:val="52016097"/>
    <w:rsid w:val="524C6CD0"/>
    <w:rsid w:val="53E0692D"/>
    <w:rsid w:val="55956954"/>
    <w:rsid w:val="55AF7D5C"/>
    <w:rsid w:val="55E83DF7"/>
    <w:rsid w:val="55EF668D"/>
    <w:rsid w:val="564571C2"/>
    <w:rsid w:val="56CA4E10"/>
    <w:rsid w:val="56DF3324"/>
    <w:rsid w:val="59047E99"/>
    <w:rsid w:val="591A7E3E"/>
    <w:rsid w:val="594F26CA"/>
    <w:rsid w:val="5DA424B0"/>
    <w:rsid w:val="5E687C70"/>
    <w:rsid w:val="5EA65556"/>
    <w:rsid w:val="5F51342E"/>
    <w:rsid w:val="604D240F"/>
    <w:rsid w:val="60657EC2"/>
    <w:rsid w:val="607A6933"/>
    <w:rsid w:val="609008FA"/>
    <w:rsid w:val="60B50CCE"/>
    <w:rsid w:val="610747F4"/>
    <w:rsid w:val="64DC0CDE"/>
    <w:rsid w:val="65333E96"/>
    <w:rsid w:val="657A1460"/>
    <w:rsid w:val="658B4525"/>
    <w:rsid w:val="66911854"/>
    <w:rsid w:val="69D20A2C"/>
    <w:rsid w:val="69FF49F3"/>
    <w:rsid w:val="6AF13082"/>
    <w:rsid w:val="6B0B1A2E"/>
    <w:rsid w:val="6BE86A4A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4E10D4F"/>
    <w:rsid w:val="754F1383"/>
    <w:rsid w:val="75C42647"/>
    <w:rsid w:val="775C359E"/>
    <w:rsid w:val="79FC2CB0"/>
    <w:rsid w:val="7A6D55EE"/>
    <w:rsid w:val="7B1511FF"/>
    <w:rsid w:val="7BC01697"/>
    <w:rsid w:val="7CDA2332"/>
    <w:rsid w:val="7DC06BDF"/>
    <w:rsid w:val="7E6D15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11</TotalTime>
  <ScaleCrop>false</ScaleCrop>
  <LinksUpToDate>false</LinksUpToDate>
  <CharactersWithSpaces>9865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Danni SONG(CMCC)</cp:lastModifiedBy>
  <cp:lastPrinted>2000-02-29T00:31:00Z</cp:lastPrinted>
  <dcterms:modified xsi:type="dcterms:W3CDTF">2024-03-01T08:51:55Z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2052-11.8.2.12085</vt:lpwstr>
  </property>
  <property fmtid="{D5CDD505-2E9C-101B-9397-08002B2CF9AE}" pid="12" name="ICV">
    <vt:lpwstr>108FF22E22BD4BFABE22DE608B44F4CE</vt:lpwstr>
  </property>
</Properties>
</file>